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77088">
                <w:rPr>
                  <w:rFonts w:asciiTheme="majorHAnsi" w:hAnsiTheme="majorHAnsi"/>
                  <w:sz w:val="20"/>
                  <w:szCs w:val="20"/>
                </w:rPr>
                <w:t>FA01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36507047" w:edGrp="everyone"/>
    <w:p w:rsidR="00AF3758" w:rsidRPr="00592A95" w:rsidRDefault="004F6A3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642F">
            <w:rPr>
              <w:rFonts w:ascii="MS Gothic" w:eastAsia="MS Gothic" w:hAnsi="MS Gothic" w:hint="eastAsia"/>
            </w:rPr>
            <w:t>☒</w:t>
          </w:r>
        </w:sdtContent>
      </w:sdt>
      <w:permEnd w:id="73650704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099140786" w:edGrp="everyone"/>
    <w:p w:rsidR="001F5E9E" w:rsidRPr="001F5E9E" w:rsidRDefault="004F6A3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9914078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6A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41695877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169587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54736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5473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F6A3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1361713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617135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50982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509829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6A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735775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357752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63059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63059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F6A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639692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39692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9683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96836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6A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7458713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587132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24430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244308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F6A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6380898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380898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42624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426242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6A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7146923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469237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81202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812026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F6A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799676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799676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66088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660885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F6A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043585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43585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34377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343779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C6642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 Simpson, </w:t>
          </w:r>
          <w:hyperlink r:id="rId9" w:history="1">
            <w:r w:rsidRPr="0049527D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870-972-2037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664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Correct Required Courses for BA w/Design Technology Emphasis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664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664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Original Bulletin entry was incorrect for the BA w/Design Technology Emphasis.  The required courses are not identical to the Directing Emphasis, as it is listed in the current bulletin.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6642F" w:rsidRDefault="00C6642F" w:rsidP="00C6642F">
          <w:pPr>
            <w:spacing w:before="100" w:beforeAutospacing="1" w:after="100" w:afterAutospacing="1"/>
            <w:rPr>
              <w:rFonts w:ascii="Times" w:hAnsi="Times" w:cs="Times New Roman"/>
              <w:sz w:val="20"/>
              <w:szCs w:val="20"/>
            </w:rPr>
          </w:pPr>
          <w:r>
            <w:rPr>
              <w:rFonts w:ascii="MyriadPro" w:hAnsi="MyriadPro" w:cs="Times New Roman"/>
              <w:b/>
              <w:bCs/>
              <w:sz w:val="32"/>
              <w:szCs w:val="32"/>
            </w:rPr>
            <w:t xml:space="preserve">Major in Theatre </w:t>
          </w:r>
        </w:p>
        <w:p w:rsidR="00C6642F" w:rsidRDefault="00C6642F" w:rsidP="00C6642F">
          <w:pPr>
            <w:spacing w:before="100" w:beforeAutospacing="1" w:after="100" w:afterAutospacing="1"/>
            <w:rPr>
              <w:rFonts w:ascii="Times" w:hAnsi="Times" w:cs="Times New Roman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Bachelor of Arts</w:t>
          </w:r>
          <w:r>
            <w:rPr>
              <w:rFonts w:ascii="Arial" w:hAnsi="Arial" w:cs="Arial"/>
              <w:b/>
              <w:bCs/>
              <w:sz w:val="16"/>
              <w:szCs w:val="16"/>
            </w:rPr>
            <w:br/>
            <w:t>Emphasis in Design Technology</w:t>
          </w:r>
          <w:r>
            <w:rPr>
              <w:rFonts w:ascii="Arial" w:hAnsi="Arial" w:cs="Arial"/>
              <w:b/>
              <w:bCs/>
              <w:sz w:val="16"/>
              <w:szCs w:val="16"/>
            </w:rPr>
            <w:br/>
          </w:r>
          <w:proofErr w:type="gramStart"/>
          <w:r>
            <w:rPr>
              <w:rFonts w:ascii="Arial" w:hAnsi="Arial" w:cs="Arial"/>
              <w:sz w:val="16"/>
              <w:szCs w:val="16"/>
            </w:rPr>
            <w:t>A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complete 8-semester degree plan is available at http://registrar.astate.edu/. </w:t>
          </w:r>
        </w:p>
        <w:tbl>
          <w:tblPr>
            <w:tblW w:w="0" w:type="auto"/>
            <w:shd w:val="clear" w:color="auto" w:fill="B2B2B2"/>
            <w:tblLook w:val="04A0" w:firstRow="1" w:lastRow="0" w:firstColumn="1" w:lastColumn="0" w:noHBand="0" w:noVBand="1"/>
          </w:tblPr>
          <w:tblGrid>
            <w:gridCol w:w="5963"/>
            <w:gridCol w:w="584"/>
          </w:tblGrid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See University General Requirements for Baccalaureate degrees (p. 41)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UC 1013, Making Connections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See General Education Curriculum for Baccalaureate degrees (p. 83) </w:t>
                </w:r>
              </w:p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t>ART 2503, Fine Arts - Visual</w:t>
                </w:r>
                <w:r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br/>
                  <w:t xml:space="preserve">MUS 2503, Fine Arts - Music (Required Departmental Gen. Ed. Option)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35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1203, Introduction to Theatre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1213, Beginning Acting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1223, Principles of Stage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2223, Fundamentals of Stagecraft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2233, Stage Makeup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2243 Stage Costume Construction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3223, Studies in Dramatic Literature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3233 Play Analysis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3252, Theatre Laboratory (must take three times)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6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4203, Stage Directing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4263, History of the Theatre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THEA 4273, History of the Theatre II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Design (select one of the following): </w:t>
                </w:r>
              </w:p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THEA 4223, Scene Design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THEA 4243, Stage Costume Design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THEA 4303, Stage Lighting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THEA 4413, Sound Design and Production for the Theatre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42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lastRenderedPageBreak/>
                  <w:t xml:space="preserve">Emphasis Area (Design Technology):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C6642F" w:rsidRPr="00C6642F" w:rsidRDefault="00C6642F">
                <w:pPr>
                  <w:spacing w:before="100" w:beforeAutospacing="1" w:after="100" w:afterAutospacing="1"/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NOTE:  One of the following will count under Design Requirements Above: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P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18"/>
                    <w:szCs w:val="18"/>
                  </w:rPr>
                </w:pPr>
                <w:r w:rsidRPr="00C6642F">
                  <w:rPr>
                    <w:rFonts w:ascii="Arial" w:hAnsi="Arial" w:cs="Arial"/>
                    <w:strike/>
                    <w:color w:val="7030A0"/>
                    <w:sz w:val="12"/>
                    <w:szCs w:val="12"/>
                  </w:rPr>
                  <w:t xml:space="preserve">THEA 2253, Stage Management   </w:t>
                </w: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THEA 4223, Scene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P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color w:val="FF0000"/>
                    <w:sz w:val="18"/>
                    <w:szCs w:val="18"/>
                  </w:rPr>
                </w:pPr>
                <w:r w:rsidRPr="00C6642F">
                  <w:rPr>
                    <w:rFonts w:ascii="Arial" w:hAnsi="Arial" w:cs="Arial"/>
                    <w:strike/>
                    <w:color w:val="7030A0"/>
                    <w:sz w:val="12"/>
                    <w:szCs w:val="12"/>
                  </w:rPr>
                  <w:t xml:space="preserve">THEA 3213, Audition Techniques </w:t>
                </w: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THEA 4243, Stage Costume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P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color w:val="FF0000"/>
                    <w:sz w:val="18"/>
                    <w:szCs w:val="18"/>
                  </w:rPr>
                </w:pPr>
                <w:r w:rsidRPr="00C6642F">
                  <w:rPr>
                    <w:rFonts w:ascii="Arial" w:hAnsi="Arial" w:cs="Arial"/>
                    <w:strike/>
                    <w:color w:val="7030A0"/>
                    <w:sz w:val="12"/>
                    <w:szCs w:val="12"/>
                  </w:rPr>
                  <w:t xml:space="preserve">THEA 4323, Stage Directing II   </w:t>
                </w: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THEA 4303, Stage Lighting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C6642F" w:rsidRPr="00C6642F" w:rsidRDefault="00C6642F">
                <w:pPr>
                  <w:spacing w:before="100" w:beforeAutospacing="1" w:after="100" w:afterAutospacing="1"/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THEA 4413, Sound Design and Production for Theatre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Design Technology Electives (select two of the following): </w:t>
                </w:r>
              </w:p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THEA 2263, History of Costumes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THEA 4233, Advanced Makeup Design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THEA 4243, Theatre Management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THEA 437V, Special Problems: Scenic Painting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THEA 437V, Special Problems: Computer-Aided-Design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6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15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Minor: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Minor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18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7 </w:t>
                </w:r>
              </w:p>
            </w:tc>
          </w:tr>
          <w:tr w:rsidR="00C6642F" w:rsidTr="00C6642F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6642F" w:rsidRDefault="00C6642F">
                <w:pPr>
                  <w:spacing w:before="100" w:beforeAutospacing="1" w:after="100" w:afterAutospacing="1"/>
                  <w:rPr>
                    <w:rFonts w:ascii="Times" w:hAnsi="Times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120 </w:t>
                </w:r>
              </w:p>
            </w:tc>
          </w:tr>
        </w:tbl>
        <w:p w:rsidR="00C6642F" w:rsidRDefault="00C6642F" w:rsidP="00C6642F">
          <w:pPr>
            <w:spacing w:before="100" w:beforeAutospacing="1" w:after="100" w:afterAutospacing="1"/>
            <w:rPr>
              <w:rFonts w:ascii="Times" w:hAnsi="Times" w:cs="Times New Roman"/>
              <w:sz w:val="20"/>
              <w:szCs w:val="20"/>
            </w:rPr>
          </w:pPr>
          <w:r>
            <w:rPr>
              <w:rFonts w:ascii="TimesNewRomanPS" w:hAnsi="TimesNewRomanPS" w:cs="Times New Roman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:rsidR="00C6642F" w:rsidRDefault="00C6642F" w:rsidP="00C6642F">
          <w:pPr>
            <w:spacing w:before="100" w:beforeAutospacing="1" w:after="100" w:afterAutospacing="1"/>
            <w:rPr>
              <w:rFonts w:ascii="Times" w:hAnsi="Times" w:cs="Times New Roman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230 </w:t>
          </w:r>
        </w:p>
        <w:p w:rsidR="00C6642F" w:rsidRDefault="00C6642F" w:rsidP="00C6642F">
          <w:pPr>
            <w:rPr>
              <w:sz w:val="24"/>
              <w:szCs w:val="24"/>
            </w:rPr>
          </w:pPr>
        </w:p>
        <w:p w:rsidR="004E5007" w:rsidRDefault="004F6A3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77088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6642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simpson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2015-06-04T20:00:00Z</cp:lastPrinted>
  <dcterms:created xsi:type="dcterms:W3CDTF">2015-08-25T16:02:00Z</dcterms:created>
  <dcterms:modified xsi:type="dcterms:W3CDTF">2015-08-25T16:02:00Z</dcterms:modified>
</cp:coreProperties>
</file>